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5EC" w:rsidRPr="007F3713" w:rsidRDefault="00564B3D" w:rsidP="004465EC">
      <w:pPr>
        <w:pStyle w:val="Default"/>
        <w:jc w:val="center"/>
        <w:rPr>
          <w:rFonts w:ascii="Georgia" w:hAnsi="Georgia"/>
          <w:color w:val="008080"/>
          <w:sz w:val="36"/>
          <w:szCs w:val="36"/>
        </w:rPr>
      </w:pPr>
      <w:r>
        <w:rPr>
          <w:rFonts w:ascii="Georgia" w:hAnsi="Georgia"/>
          <w:b/>
          <w:bCs/>
          <w:color w:val="008080"/>
          <w:sz w:val="36"/>
          <w:szCs w:val="36"/>
        </w:rPr>
        <w:t>2018-2019</w:t>
      </w:r>
      <w:bookmarkStart w:id="0" w:name="_GoBack"/>
      <w:bookmarkEnd w:id="0"/>
      <w:r w:rsidR="004465EC" w:rsidRPr="007F3713">
        <w:rPr>
          <w:rFonts w:ascii="Georgia" w:hAnsi="Georgia"/>
          <w:b/>
          <w:bCs/>
          <w:color w:val="008080"/>
          <w:sz w:val="36"/>
          <w:szCs w:val="36"/>
        </w:rPr>
        <w:t xml:space="preserve"> UHCSR UT Knoxville Referral Guide</w:t>
      </w:r>
    </w:p>
    <w:p w:rsidR="004465EC" w:rsidRPr="00667020" w:rsidRDefault="004465EC" w:rsidP="004465EC">
      <w:pPr>
        <w:pStyle w:val="Default"/>
        <w:spacing w:before="120" w:after="100"/>
        <w:jc w:val="both"/>
        <w:rPr>
          <w:sz w:val="20"/>
          <w:szCs w:val="20"/>
        </w:rPr>
      </w:pPr>
      <w:r w:rsidRPr="00667020">
        <w:rPr>
          <w:sz w:val="20"/>
          <w:szCs w:val="20"/>
        </w:rPr>
        <w:t>For the best benefits, all UT Knoxville students</w:t>
      </w:r>
      <w:r>
        <w:rPr>
          <w:sz w:val="20"/>
          <w:szCs w:val="20"/>
        </w:rPr>
        <w:t xml:space="preserve"> </w:t>
      </w:r>
      <w:r w:rsidRPr="00667020">
        <w:rPr>
          <w:sz w:val="20"/>
          <w:szCs w:val="20"/>
        </w:rPr>
        <w:t>should first utilize the Student Health Center (SHC) providers from whom treatment will be administered or referral issued. Expenses incurred for medical treatment rendered outside of the Student Health Service for which no referral is obtained will be covered at the non-preferred level of coinsuranc</w:t>
      </w:r>
      <w:r>
        <w:rPr>
          <w:sz w:val="20"/>
          <w:szCs w:val="20"/>
        </w:rPr>
        <w:t>e.</w:t>
      </w:r>
    </w:p>
    <w:p w:rsidR="004465EC" w:rsidRPr="007F2BF2" w:rsidRDefault="004465EC" w:rsidP="004465EC">
      <w:pPr>
        <w:pStyle w:val="Default"/>
        <w:numPr>
          <w:ilvl w:val="0"/>
          <w:numId w:val="4"/>
        </w:numPr>
        <w:ind w:left="1224" w:right="144"/>
        <w:rPr>
          <w:b/>
          <w:sz w:val="20"/>
          <w:szCs w:val="20"/>
        </w:rPr>
      </w:pPr>
      <w:r w:rsidRPr="007F2BF2">
        <w:rPr>
          <w:b/>
          <w:sz w:val="20"/>
          <w:szCs w:val="20"/>
        </w:rPr>
        <w:t>Referrals MUST be written by one of the providers at the UT Student Health Center</w:t>
      </w:r>
    </w:p>
    <w:p w:rsidR="004465EC" w:rsidRPr="007F2BF2" w:rsidRDefault="004465EC" w:rsidP="004465EC">
      <w:pPr>
        <w:pStyle w:val="Default"/>
        <w:numPr>
          <w:ilvl w:val="0"/>
          <w:numId w:val="4"/>
        </w:numPr>
        <w:ind w:left="1224" w:right="144"/>
        <w:rPr>
          <w:b/>
          <w:sz w:val="20"/>
          <w:szCs w:val="20"/>
        </w:rPr>
      </w:pPr>
      <w:r w:rsidRPr="007F2BF2">
        <w:rPr>
          <w:b/>
          <w:sz w:val="20"/>
          <w:szCs w:val="20"/>
        </w:rPr>
        <w:t xml:space="preserve">One referral </w:t>
      </w:r>
      <w:r w:rsidRPr="007F2BF2">
        <w:rPr>
          <w:b/>
          <w:i/>
          <w:iCs/>
          <w:sz w:val="20"/>
          <w:szCs w:val="20"/>
          <w:u w:val="single"/>
        </w:rPr>
        <w:t>per condition per policy year</w:t>
      </w:r>
      <w:r w:rsidRPr="007F2BF2">
        <w:rPr>
          <w:b/>
          <w:i/>
          <w:iCs/>
          <w:sz w:val="20"/>
          <w:szCs w:val="20"/>
        </w:rPr>
        <w:t xml:space="preserve"> </w:t>
      </w:r>
      <w:r w:rsidRPr="007F2BF2">
        <w:rPr>
          <w:b/>
          <w:sz w:val="20"/>
          <w:szCs w:val="20"/>
        </w:rPr>
        <w:t>is necessary</w:t>
      </w:r>
    </w:p>
    <w:p w:rsidR="004465EC" w:rsidRPr="007F2BF2" w:rsidRDefault="004465EC" w:rsidP="004465EC">
      <w:pPr>
        <w:pStyle w:val="Default"/>
        <w:numPr>
          <w:ilvl w:val="0"/>
          <w:numId w:val="4"/>
        </w:numPr>
        <w:ind w:left="1224" w:right="144"/>
        <w:rPr>
          <w:b/>
          <w:sz w:val="20"/>
          <w:szCs w:val="20"/>
        </w:rPr>
      </w:pPr>
      <w:r w:rsidRPr="007F2BF2">
        <w:rPr>
          <w:b/>
          <w:sz w:val="20"/>
          <w:szCs w:val="20"/>
        </w:rPr>
        <w:t>A specific condition MUST be listed on the referral</w:t>
      </w:r>
    </w:p>
    <w:p w:rsidR="004465EC" w:rsidRPr="007F2BF2" w:rsidRDefault="004465EC" w:rsidP="004465EC">
      <w:pPr>
        <w:pStyle w:val="Default"/>
        <w:numPr>
          <w:ilvl w:val="0"/>
          <w:numId w:val="4"/>
        </w:numPr>
        <w:ind w:left="1224" w:right="144"/>
        <w:rPr>
          <w:b/>
          <w:sz w:val="20"/>
          <w:szCs w:val="20"/>
        </w:rPr>
      </w:pPr>
      <w:r w:rsidRPr="007F2BF2">
        <w:rPr>
          <w:b/>
          <w:sz w:val="20"/>
          <w:szCs w:val="20"/>
        </w:rPr>
        <w:t>Additional treatment related to a single condition will be covered under a single referral</w:t>
      </w:r>
    </w:p>
    <w:p w:rsidR="004465EC" w:rsidRPr="007F2BF2" w:rsidRDefault="004465EC" w:rsidP="004465EC">
      <w:pPr>
        <w:pStyle w:val="Default"/>
        <w:numPr>
          <w:ilvl w:val="0"/>
          <w:numId w:val="4"/>
        </w:numPr>
        <w:ind w:left="1224" w:right="144"/>
        <w:rPr>
          <w:b/>
          <w:sz w:val="20"/>
          <w:szCs w:val="20"/>
        </w:rPr>
      </w:pPr>
      <w:r w:rsidRPr="007F2BF2">
        <w:rPr>
          <w:b/>
          <w:sz w:val="20"/>
          <w:szCs w:val="20"/>
        </w:rPr>
        <w:t xml:space="preserve">ALL Referrals EXPIRE on </w:t>
      </w:r>
      <w:r w:rsidRPr="007F2BF2">
        <w:rPr>
          <w:b/>
          <w:i/>
          <w:sz w:val="20"/>
          <w:szCs w:val="20"/>
        </w:rPr>
        <w:t>July 31</w:t>
      </w:r>
      <w:r w:rsidRPr="007F2BF2">
        <w:rPr>
          <w:b/>
          <w:sz w:val="20"/>
          <w:szCs w:val="20"/>
        </w:rPr>
        <w:t xml:space="preserve"> of each year</w:t>
      </w:r>
    </w:p>
    <w:p w:rsidR="004465EC" w:rsidRPr="007F2BF2" w:rsidRDefault="004465EC" w:rsidP="004465EC">
      <w:pPr>
        <w:pStyle w:val="Default"/>
        <w:numPr>
          <w:ilvl w:val="0"/>
          <w:numId w:val="4"/>
        </w:numPr>
        <w:ind w:left="1224" w:right="144"/>
        <w:rPr>
          <w:b/>
          <w:sz w:val="20"/>
          <w:szCs w:val="20"/>
        </w:rPr>
      </w:pPr>
      <w:r w:rsidRPr="007F2BF2">
        <w:rPr>
          <w:b/>
          <w:sz w:val="20"/>
          <w:szCs w:val="20"/>
        </w:rPr>
        <w:t xml:space="preserve">Referrals must be renewed each year after </w:t>
      </w:r>
      <w:r w:rsidRPr="007F2BF2">
        <w:rPr>
          <w:b/>
          <w:i/>
          <w:sz w:val="20"/>
          <w:szCs w:val="20"/>
        </w:rPr>
        <w:t>August 1</w:t>
      </w:r>
    </w:p>
    <w:p w:rsidR="004465EC" w:rsidRPr="00881FFA" w:rsidRDefault="004465EC" w:rsidP="004465EC">
      <w:pPr>
        <w:pStyle w:val="Default"/>
        <w:jc w:val="both"/>
        <w:rPr>
          <w:sz w:val="10"/>
          <w:szCs w:val="10"/>
        </w:rPr>
      </w:pPr>
    </w:p>
    <w:p w:rsidR="004465EC" w:rsidRPr="001A7101" w:rsidRDefault="004465EC" w:rsidP="004465EC">
      <w:pPr>
        <w:pStyle w:val="Default"/>
        <w:ind w:left="432" w:right="432"/>
        <w:jc w:val="both"/>
        <w:rPr>
          <w:sz w:val="18"/>
          <w:szCs w:val="18"/>
        </w:rPr>
      </w:pPr>
      <w:r w:rsidRPr="001A7101">
        <w:rPr>
          <w:sz w:val="18"/>
          <w:szCs w:val="18"/>
        </w:rPr>
        <w:t>For example: A student goes to the health clinic complaining of knee pain, and a referral is issued to an orthopedic doctor listing knee pain as a condition. That doctor then sends the student for an MRI, and he or she has surgery. All of that would be covered, because all of the visits/treatments were related to the original condition of knee pain that was listed on the referral. However, if the initial referral lists only a provider, the student would need to return to the SHC for a new referral each time. Also, if the referral is written for a specific condition, but the actual diagnosis turns out to be unrelated, they would need to come back to the SHC before seeing any other doctors.</w:t>
      </w:r>
    </w:p>
    <w:p w:rsidR="004465EC" w:rsidRPr="00881FFA" w:rsidRDefault="004465EC" w:rsidP="004465EC">
      <w:pPr>
        <w:pStyle w:val="Default"/>
        <w:ind w:left="720"/>
        <w:jc w:val="both"/>
        <w:rPr>
          <w:sz w:val="20"/>
          <w:szCs w:val="20"/>
        </w:rPr>
      </w:pPr>
    </w:p>
    <w:p w:rsidR="004465EC" w:rsidRPr="007F3713" w:rsidRDefault="004465EC" w:rsidP="004465EC">
      <w:pPr>
        <w:pStyle w:val="Default"/>
        <w:ind w:left="-720" w:right="-720"/>
        <w:jc w:val="center"/>
        <w:rPr>
          <w:rFonts w:ascii="Georgia" w:hAnsi="Georgia"/>
          <w:b/>
          <w:color w:val="008080"/>
          <w:sz w:val="32"/>
          <w:szCs w:val="32"/>
          <w:u w:val="single"/>
        </w:rPr>
      </w:pPr>
      <w:r w:rsidRPr="007F3713">
        <w:rPr>
          <w:rFonts w:ascii="Georgia" w:hAnsi="Georgia"/>
          <w:b/>
          <w:color w:val="008080"/>
          <w:sz w:val="32"/>
          <w:szCs w:val="32"/>
          <w:u w:val="single"/>
        </w:rPr>
        <w:t>NO referral is required only under the following conditions:</w:t>
      </w:r>
    </w:p>
    <w:p w:rsidR="004465EC" w:rsidRPr="00527A6D" w:rsidRDefault="004465EC" w:rsidP="004465EC">
      <w:pPr>
        <w:pStyle w:val="Default"/>
        <w:ind w:left="-720" w:right="-720"/>
        <w:jc w:val="both"/>
        <w:rPr>
          <w:sz w:val="10"/>
          <w:szCs w:val="10"/>
          <w:u w:val="single"/>
        </w:rPr>
      </w:pPr>
    </w:p>
    <w:p w:rsidR="004465EC" w:rsidRPr="007F3713" w:rsidRDefault="004465EC" w:rsidP="004465EC">
      <w:pPr>
        <w:pStyle w:val="Default"/>
        <w:ind w:left="1440" w:right="288" w:hanging="360"/>
        <w:jc w:val="both"/>
        <w:rPr>
          <w:rFonts w:ascii="Georgia" w:hAnsi="Georgia"/>
          <w:b/>
          <w:bCs/>
          <w:color w:val="auto"/>
          <w:sz w:val="20"/>
          <w:szCs w:val="20"/>
        </w:rPr>
      </w:pPr>
      <w:r w:rsidRPr="007F3713">
        <w:rPr>
          <w:color w:val="auto"/>
          <w:sz w:val="22"/>
          <w:szCs w:val="22"/>
        </w:rPr>
        <w:t xml:space="preserve">• </w:t>
      </w:r>
      <w:r w:rsidRPr="007F3713">
        <w:rPr>
          <w:rFonts w:ascii="Georgia" w:hAnsi="Georgia"/>
          <w:b/>
          <w:color w:val="auto"/>
          <w:sz w:val="22"/>
          <w:szCs w:val="22"/>
        </w:rPr>
        <w:t>A M</w:t>
      </w:r>
      <w:r w:rsidRPr="007F3713">
        <w:rPr>
          <w:rFonts w:ascii="Georgia" w:hAnsi="Georgia"/>
          <w:b/>
          <w:bCs/>
          <w:color w:val="auto"/>
          <w:sz w:val="22"/>
          <w:szCs w:val="22"/>
        </w:rPr>
        <w:t>edical Emergency</w:t>
      </w:r>
    </w:p>
    <w:p w:rsidR="004465EC" w:rsidRPr="007F3713" w:rsidRDefault="004465EC" w:rsidP="004465EC">
      <w:pPr>
        <w:pStyle w:val="Default"/>
        <w:numPr>
          <w:ilvl w:val="0"/>
          <w:numId w:val="1"/>
        </w:numPr>
        <w:ind w:left="1440" w:right="288"/>
        <w:jc w:val="both"/>
        <w:rPr>
          <w:color w:val="008080"/>
          <w:sz w:val="20"/>
          <w:szCs w:val="20"/>
        </w:rPr>
      </w:pPr>
      <w:r w:rsidRPr="007F3713">
        <w:rPr>
          <w:bCs/>
          <w:color w:val="008080"/>
          <w:sz w:val="20"/>
          <w:szCs w:val="20"/>
        </w:rPr>
        <w:t>T</w:t>
      </w:r>
      <w:r w:rsidRPr="007F3713">
        <w:rPr>
          <w:color w:val="008080"/>
          <w:sz w:val="20"/>
          <w:szCs w:val="20"/>
        </w:rPr>
        <w:t xml:space="preserve">he student must return to SHC for necessary follow-up care (or further referrals) after a visit to the Emergency Room; referrals from an ER provider are </w:t>
      </w:r>
      <w:r w:rsidRPr="007F3713">
        <w:rPr>
          <w:b/>
          <w:color w:val="008080"/>
          <w:sz w:val="20"/>
          <w:szCs w:val="20"/>
        </w:rPr>
        <w:t>not</w:t>
      </w:r>
      <w:r w:rsidRPr="007F3713">
        <w:rPr>
          <w:color w:val="008080"/>
          <w:sz w:val="20"/>
          <w:szCs w:val="20"/>
        </w:rPr>
        <w:t xml:space="preserve"> SHC referrals.</w:t>
      </w:r>
    </w:p>
    <w:p w:rsidR="004465EC" w:rsidRPr="007F3713" w:rsidRDefault="004465EC" w:rsidP="004465EC">
      <w:pPr>
        <w:pStyle w:val="Default"/>
        <w:ind w:left="1440" w:right="288"/>
        <w:jc w:val="both"/>
        <w:rPr>
          <w:color w:val="auto"/>
          <w:sz w:val="10"/>
          <w:szCs w:val="10"/>
        </w:rPr>
      </w:pPr>
    </w:p>
    <w:p w:rsidR="004465EC" w:rsidRPr="007F3713" w:rsidRDefault="004465EC" w:rsidP="004465EC">
      <w:pPr>
        <w:pStyle w:val="Default"/>
        <w:ind w:left="1440" w:right="288" w:hanging="360"/>
        <w:jc w:val="both"/>
        <w:rPr>
          <w:rFonts w:ascii="Georgia" w:hAnsi="Georgia"/>
          <w:b/>
          <w:bCs/>
          <w:color w:val="auto"/>
          <w:sz w:val="22"/>
          <w:szCs w:val="22"/>
        </w:rPr>
      </w:pPr>
      <w:r w:rsidRPr="007F3713">
        <w:rPr>
          <w:color w:val="auto"/>
          <w:sz w:val="22"/>
          <w:szCs w:val="22"/>
        </w:rPr>
        <w:t xml:space="preserve">• </w:t>
      </w:r>
      <w:r w:rsidRPr="007F3713">
        <w:rPr>
          <w:rFonts w:ascii="Georgia" w:hAnsi="Georgia"/>
          <w:b/>
          <w:bCs/>
          <w:color w:val="auto"/>
          <w:sz w:val="22"/>
          <w:szCs w:val="22"/>
        </w:rPr>
        <w:t>When the Student Health Center is closed</w:t>
      </w:r>
    </w:p>
    <w:p w:rsidR="004465EC" w:rsidRPr="007F3713" w:rsidRDefault="004465EC" w:rsidP="004465EC">
      <w:pPr>
        <w:pStyle w:val="Default"/>
        <w:numPr>
          <w:ilvl w:val="0"/>
          <w:numId w:val="2"/>
        </w:numPr>
        <w:ind w:left="1440" w:right="288"/>
        <w:jc w:val="both"/>
        <w:rPr>
          <w:color w:val="008080"/>
          <w:sz w:val="20"/>
          <w:szCs w:val="20"/>
        </w:rPr>
      </w:pPr>
      <w:r w:rsidRPr="007F3713">
        <w:rPr>
          <w:bCs/>
          <w:color w:val="008080"/>
          <w:sz w:val="20"/>
          <w:szCs w:val="20"/>
        </w:rPr>
        <w:t>T</w:t>
      </w:r>
      <w:r w:rsidRPr="007F3713">
        <w:rPr>
          <w:color w:val="008080"/>
          <w:sz w:val="20"/>
          <w:szCs w:val="20"/>
        </w:rPr>
        <w:t xml:space="preserve">he student must return to SHC for necessary follow-up care (or further referrals) after a visit to the Emergency Room; referrals from an ER provider are </w:t>
      </w:r>
      <w:r w:rsidRPr="007F3713">
        <w:rPr>
          <w:b/>
          <w:color w:val="008080"/>
          <w:sz w:val="20"/>
          <w:szCs w:val="20"/>
        </w:rPr>
        <w:t>not</w:t>
      </w:r>
      <w:r w:rsidRPr="007F3713">
        <w:rPr>
          <w:color w:val="008080"/>
          <w:sz w:val="20"/>
          <w:szCs w:val="20"/>
        </w:rPr>
        <w:t xml:space="preserve"> SHC referrals. </w:t>
      </w:r>
    </w:p>
    <w:p w:rsidR="004465EC" w:rsidRPr="007F3713" w:rsidRDefault="004465EC" w:rsidP="004465EC">
      <w:pPr>
        <w:pStyle w:val="Default"/>
        <w:ind w:left="1440" w:right="288"/>
        <w:jc w:val="both"/>
        <w:rPr>
          <w:color w:val="auto"/>
          <w:sz w:val="10"/>
          <w:szCs w:val="10"/>
        </w:rPr>
      </w:pPr>
    </w:p>
    <w:p w:rsidR="004465EC" w:rsidRPr="007F3713" w:rsidRDefault="004465EC" w:rsidP="004465EC">
      <w:pPr>
        <w:pStyle w:val="Default"/>
        <w:ind w:left="1440" w:right="-288" w:hanging="360"/>
        <w:jc w:val="both"/>
        <w:rPr>
          <w:b/>
          <w:bCs/>
          <w:color w:val="auto"/>
          <w:sz w:val="22"/>
          <w:szCs w:val="22"/>
        </w:rPr>
      </w:pPr>
      <w:r w:rsidRPr="007F3713">
        <w:rPr>
          <w:color w:val="auto"/>
          <w:sz w:val="22"/>
          <w:szCs w:val="22"/>
        </w:rPr>
        <w:t xml:space="preserve">• </w:t>
      </w:r>
      <w:r w:rsidRPr="007F3713">
        <w:rPr>
          <w:rFonts w:ascii="Georgia" w:hAnsi="Georgia"/>
          <w:b/>
          <w:bCs/>
          <w:color w:val="auto"/>
          <w:sz w:val="22"/>
          <w:szCs w:val="22"/>
        </w:rPr>
        <w:t>When a student is no longer eligible to use the SHC due to a change in student status</w:t>
      </w:r>
    </w:p>
    <w:p w:rsidR="004465EC" w:rsidRPr="007F3713" w:rsidRDefault="004465EC" w:rsidP="004465EC">
      <w:pPr>
        <w:pStyle w:val="Default"/>
        <w:numPr>
          <w:ilvl w:val="0"/>
          <w:numId w:val="2"/>
        </w:numPr>
        <w:ind w:left="1440" w:right="288"/>
        <w:jc w:val="both"/>
        <w:rPr>
          <w:color w:val="008080"/>
          <w:sz w:val="20"/>
          <w:szCs w:val="20"/>
        </w:rPr>
      </w:pPr>
      <w:r w:rsidRPr="007F3713">
        <w:rPr>
          <w:color w:val="008080"/>
          <w:sz w:val="20"/>
          <w:szCs w:val="20"/>
        </w:rPr>
        <w:t>If a student buys annual coverage in the fall but graduates in December, referrals are no longer necessary since the student becomes ineligible to be seen at the SHC.</w:t>
      </w:r>
    </w:p>
    <w:p w:rsidR="004465EC" w:rsidRPr="007F3713" w:rsidRDefault="004465EC" w:rsidP="004465EC">
      <w:pPr>
        <w:pStyle w:val="Default"/>
        <w:ind w:left="1440" w:right="288"/>
        <w:jc w:val="both"/>
        <w:rPr>
          <w:color w:val="auto"/>
          <w:sz w:val="10"/>
          <w:szCs w:val="10"/>
        </w:rPr>
      </w:pPr>
    </w:p>
    <w:p w:rsidR="004465EC" w:rsidRPr="007F3713" w:rsidRDefault="004465EC" w:rsidP="004465EC">
      <w:pPr>
        <w:pStyle w:val="Default"/>
        <w:ind w:left="1440" w:right="288" w:hanging="360"/>
        <w:jc w:val="both"/>
        <w:rPr>
          <w:rFonts w:ascii="Georgia" w:hAnsi="Georgia"/>
          <w:b/>
          <w:bCs/>
          <w:color w:val="auto"/>
          <w:sz w:val="22"/>
          <w:szCs w:val="22"/>
        </w:rPr>
      </w:pPr>
      <w:r w:rsidRPr="007F3713">
        <w:rPr>
          <w:color w:val="auto"/>
          <w:sz w:val="22"/>
          <w:szCs w:val="22"/>
        </w:rPr>
        <w:t xml:space="preserve">• </w:t>
      </w:r>
      <w:r w:rsidRPr="007F3713">
        <w:rPr>
          <w:rFonts w:ascii="Georgia" w:hAnsi="Georgia"/>
          <w:b/>
          <w:bCs/>
          <w:color w:val="auto"/>
          <w:sz w:val="22"/>
          <w:szCs w:val="22"/>
        </w:rPr>
        <w:t>Maternity/Gynecology</w:t>
      </w:r>
    </w:p>
    <w:p w:rsidR="004465EC" w:rsidRPr="007F3713" w:rsidRDefault="004465EC" w:rsidP="004465EC">
      <w:pPr>
        <w:pStyle w:val="Default"/>
        <w:numPr>
          <w:ilvl w:val="0"/>
          <w:numId w:val="2"/>
        </w:numPr>
        <w:ind w:left="1440" w:right="288"/>
        <w:jc w:val="both"/>
        <w:rPr>
          <w:color w:val="008080"/>
          <w:sz w:val="20"/>
          <w:szCs w:val="20"/>
        </w:rPr>
      </w:pPr>
      <w:r w:rsidRPr="007F3713">
        <w:rPr>
          <w:bCs/>
          <w:color w:val="008080"/>
          <w:sz w:val="20"/>
          <w:szCs w:val="20"/>
        </w:rPr>
        <w:t>Includes pregnancy and annual well woman exams</w:t>
      </w:r>
    </w:p>
    <w:p w:rsidR="004465EC" w:rsidRPr="007F3713" w:rsidRDefault="004465EC" w:rsidP="004465EC">
      <w:pPr>
        <w:pStyle w:val="Default"/>
        <w:ind w:left="1440" w:right="288"/>
        <w:jc w:val="both"/>
        <w:rPr>
          <w:color w:val="auto"/>
          <w:sz w:val="10"/>
          <w:szCs w:val="10"/>
        </w:rPr>
      </w:pPr>
    </w:p>
    <w:p w:rsidR="004465EC" w:rsidRPr="007F3713" w:rsidRDefault="004465EC" w:rsidP="004465EC">
      <w:pPr>
        <w:pStyle w:val="Default"/>
        <w:ind w:left="1440" w:right="288" w:hanging="360"/>
        <w:jc w:val="both"/>
        <w:rPr>
          <w:rFonts w:ascii="Georgia" w:hAnsi="Georgia"/>
          <w:b/>
          <w:bCs/>
          <w:color w:val="auto"/>
          <w:sz w:val="22"/>
          <w:szCs w:val="22"/>
        </w:rPr>
      </w:pPr>
      <w:r w:rsidRPr="007F3713">
        <w:rPr>
          <w:color w:val="auto"/>
          <w:sz w:val="22"/>
          <w:szCs w:val="22"/>
        </w:rPr>
        <w:t xml:space="preserve">• </w:t>
      </w:r>
      <w:r w:rsidRPr="007F3713">
        <w:rPr>
          <w:rFonts w:ascii="Georgia" w:hAnsi="Georgia"/>
          <w:b/>
          <w:bCs/>
          <w:color w:val="auto"/>
          <w:sz w:val="22"/>
          <w:szCs w:val="22"/>
        </w:rPr>
        <w:t>Mental Health</w:t>
      </w:r>
    </w:p>
    <w:p w:rsidR="004465EC" w:rsidRPr="007F3713" w:rsidRDefault="004465EC" w:rsidP="004465EC">
      <w:pPr>
        <w:pStyle w:val="Default"/>
        <w:numPr>
          <w:ilvl w:val="0"/>
          <w:numId w:val="2"/>
        </w:numPr>
        <w:ind w:left="1440" w:right="288"/>
        <w:jc w:val="both"/>
        <w:rPr>
          <w:color w:val="008080"/>
          <w:sz w:val="20"/>
          <w:szCs w:val="20"/>
        </w:rPr>
      </w:pPr>
      <w:r w:rsidRPr="007F3713">
        <w:rPr>
          <w:bCs/>
          <w:color w:val="008080"/>
          <w:sz w:val="20"/>
          <w:szCs w:val="20"/>
        </w:rPr>
        <w:t>I</w:t>
      </w:r>
      <w:r w:rsidRPr="007F3713">
        <w:rPr>
          <w:color w:val="008080"/>
          <w:sz w:val="20"/>
          <w:szCs w:val="20"/>
        </w:rPr>
        <w:t>ncludes therapy, medication management, and substance disorder treatment</w:t>
      </w:r>
    </w:p>
    <w:p w:rsidR="004465EC" w:rsidRPr="007F3713" w:rsidRDefault="004465EC" w:rsidP="004465EC">
      <w:pPr>
        <w:pStyle w:val="Default"/>
        <w:ind w:left="1440" w:right="288"/>
        <w:jc w:val="both"/>
        <w:rPr>
          <w:color w:val="auto"/>
          <w:sz w:val="10"/>
          <w:szCs w:val="10"/>
        </w:rPr>
      </w:pPr>
    </w:p>
    <w:p w:rsidR="004465EC" w:rsidRPr="007F3713" w:rsidRDefault="004465EC" w:rsidP="004465EC">
      <w:pPr>
        <w:pStyle w:val="Default"/>
        <w:ind w:left="1440" w:right="288"/>
        <w:jc w:val="both"/>
        <w:rPr>
          <w:rFonts w:ascii="Georgia" w:hAnsi="Georgia"/>
          <w:b/>
          <w:bCs/>
          <w:color w:val="auto"/>
          <w:sz w:val="22"/>
          <w:szCs w:val="22"/>
        </w:rPr>
      </w:pPr>
      <w:r w:rsidRPr="007F3713">
        <w:rPr>
          <w:color w:val="auto"/>
          <w:sz w:val="22"/>
          <w:szCs w:val="22"/>
        </w:rPr>
        <w:t xml:space="preserve">• </w:t>
      </w:r>
      <w:r w:rsidRPr="007F3713">
        <w:rPr>
          <w:rFonts w:ascii="Georgia" w:hAnsi="Georgia"/>
          <w:b/>
          <w:bCs/>
          <w:color w:val="auto"/>
          <w:sz w:val="22"/>
          <w:szCs w:val="22"/>
        </w:rPr>
        <w:t>When a student is more than 50 miles from the UT campus</w:t>
      </w:r>
    </w:p>
    <w:p w:rsidR="004465EC" w:rsidRPr="007F2BF2" w:rsidRDefault="004465EC" w:rsidP="004465EC">
      <w:pPr>
        <w:pStyle w:val="Default"/>
        <w:spacing w:before="100" w:beforeAutospacing="1"/>
        <w:ind w:left="-1296" w:right="-1296"/>
        <w:jc w:val="center"/>
        <w:rPr>
          <w:rFonts w:ascii="Georgia" w:hAnsi="Georgia"/>
          <w:b/>
          <w:color w:val="008080"/>
          <w:sz w:val="26"/>
          <w:szCs w:val="26"/>
          <w:u w:val="single"/>
        </w:rPr>
      </w:pPr>
      <w:r w:rsidRPr="007F2BF2">
        <w:rPr>
          <w:rFonts w:ascii="Georgia" w:hAnsi="Georgia"/>
          <w:b/>
          <w:color w:val="008080"/>
          <w:sz w:val="26"/>
          <w:szCs w:val="26"/>
          <w:u w:val="single"/>
        </w:rPr>
        <w:t>NOTE:  Visiting Faculty/Scholars and Dependents – NO REFERRAL NECESSARY</w:t>
      </w:r>
    </w:p>
    <w:p w:rsidR="004465EC" w:rsidRPr="000528D5" w:rsidRDefault="004465EC" w:rsidP="004465EC">
      <w:pPr>
        <w:pStyle w:val="Default"/>
        <w:ind w:left="288" w:right="288"/>
        <w:jc w:val="both"/>
        <w:rPr>
          <w:sz w:val="22"/>
          <w:szCs w:val="22"/>
        </w:rPr>
      </w:pPr>
    </w:p>
    <w:p w:rsidR="004465EC" w:rsidRPr="00200321" w:rsidRDefault="004465EC" w:rsidP="004465EC">
      <w:pPr>
        <w:pStyle w:val="Default"/>
        <w:jc w:val="center"/>
        <w:rPr>
          <w:b/>
          <w:bCs/>
          <w:sz w:val="22"/>
          <w:szCs w:val="22"/>
        </w:rPr>
      </w:pPr>
      <w:r w:rsidRPr="00200321">
        <w:rPr>
          <w:b/>
          <w:bCs/>
          <w:sz w:val="22"/>
          <w:szCs w:val="22"/>
        </w:rPr>
        <w:t>John H. Hildreth, CLU, LLC</w:t>
      </w:r>
    </w:p>
    <w:p w:rsidR="004465EC" w:rsidRPr="00E87EFE" w:rsidRDefault="004465EC" w:rsidP="004465EC">
      <w:pPr>
        <w:pStyle w:val="Default"/>
        <w:jc w:val="center"/>
        <w:rPr>
          <w:sz w:val="20"/>
          <w:szCs w:val="20"/>
        </w:rPr>
      </w:pPr>
      <w:r w:rsidRPr="00E87EFE">
        <w:rPr>
          <w:sz w:val="20"/>
          <w:szCs w:val="20"/>
        </w:rPr>
        <w:t>10259 Kingston Pike · Knoxville, TN 37922</w:t>
      </w:r>
      <w:r>
        <w:rPr>
          <w:sz w:val="20"/>
          <w:szCs w:val="20"/>
        </w:rPr>
        <w:t xml:space="preserve"> </w:t>
      </w:r>
      <w:r w:rsidRPr="00E87EFE">
        <w:rPr>
          <w:sz w:val="20"/>
          <w:szCs w:val="20"/>
        </w:rPr>
        <w:t xml:space="preserve">· </w:t>
      </w:r>
      <w:r>
        <w:rPr>
          <w:sz w:val="20"/>
          <w:szCs w:val="20"/>
        </w:rPr>
        <w:t xml:space="preserve">(865) </w:t>
      </w:r>
      <w:r w:rsidRPr="00E87EFE">
        <w:rPr>
          <w:sz w:val="20"/>
          <w:szCs w:val="20"/>
        </w:rPr>
        <w:t xml:space="preserve">691-4652 </w:t>
      </w:r>
      <w:proofErr w:type="gramStart"/>
      <w:r w:rsidRPr="00E87EFE">
        <w:rPr>
          <w:sz w:val="20"/>
          <w:szCs w:val="20"/>
        </w:rPr>
        <w:t xml:space="preserve">· </w:t>
      </w:r>
      <w:r>
        <w:rPr>
          <w:sz w:val="20"/>
          <w:szCs w:val="20"/>
        </w:rPr>
        <w:t xml:space="preserve"> </w:t>
      </w:r>
      <w:r w:rsidRPr="00E87EFE">
        <w:rPr>
          <w:sz w:val="20"/>
          <w:szCs w:val="20"/>
        </w:rPr>
        <w:t>www.studenthealthprograms.com</w:t>
      </w:r>
      <w:proofErr w:type="gramEnd"/>
    </w:p>
    <w:p w:rsidR="004465EC" w:rsidRPr="001A7101" w:rsidRDefault="004465EC" w:rsidP="004465EC">
      <w:pPr>
        <w:jc w:val="center"/>
        <w:rPr>
          <w:sz w:val="10"/>
          <w:szCs w:val="10"/>
        </w:rPr>
      </w:pPr>
    </w:p>
    <w:p w:rsidR="004465EC" w:rsidRDefault="004465EC" w:rsidP="004465EC">
      <w:pPr>
        <w:pStyle w:val="NoSpacing"/>
        <w:ind w:right="-576"/>
        <w:rPr>
          <w:sz w:val="28"/>
          <w:szCs w:val="28"/>
        </w:rPr>
      </w:pPr>
      <w:r>
        <w:rPr>
          <w:noProof/>
          <w:sz w:val="10"/>
          <w:szCs w:val="10"/>
        </w:rPr>
        <mc:AlternateContent>
          <mc:Choice Requires="wps">
            <w:drawing>
              <wp:anchor distT="0" distB="0" distL="114300" distR="114300" simplePos="0" relativeHeight="251659264" behindDoc="1" locked="0" layoutInCell="1" allowOverlap="1" wp14:anchorId="3A128ECA" wp14:editId="74FCAE53">
                <wp:simplePos x="0" y="0"/>
                <wp:positionH relativeFrom="column">
                  <wp:posOffset>135255</wp:posOffset>
                </wp:positionH>
                <wp:positionV relativeFrom="paragraph">
                  <wp:posOffset>116205</wp:posOffset>
                </wp:positionV>
                <wp:extent cx="6591300" cy="1973580"/>
                <wp:effectExtent l="19050" t="19050" r="38100" b="45720"/>
                <wp:wrapNone/>
                <wp:docPr id="1" name="Rectangle 1"/>
                <wp:cNvGraphicFramePr/>
                <a:graphic xmlns:a="http://schemas.openxmlformats.org/drawingml/2006/main">
                  <a:graphicData uri="http://schemas.microsoft.com/office/word/2010/wordprocessingShape">
                    <wps:wsp>
                      <wps:cNvSpPr/>
                      <wps:spPr>
                        <a:xfrm>
                          <a:off x="0" y="0"/>
                          <a:ext cx="6591300" cy="1973580"/>
                        </a:xfrm>
                        <a:prstGeom prst="rect">
                          <a:avLst/>
                        </a:prstGeom>
                        <a:solidFill>
                          <a:srgbClr val="CCFF66"/>
                        </a:solidFill>
                        <a:ln w="57150">
                          <a:solidFill>
                            <a:schemeClr val="accent2"/>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3C5CB" id="Rectangle 1" o:spid="_x0000_s1026" style="position:absolute;margin-left:10.65pt;margin-top:9.15pt;width:519pt;height:15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" fillcolor="#cf6" strokecolor="#ed7d31 [3205]" strokeweight="4.5pt"/>
            </w:pict>
          </mc:Fallback>
        </mc:AlternateContent>
      </w:r>
    </w:p>
    <w:p w:rsidR="004465EC" w:rsidRPr="00881FFA" w:rsidRDefault="004465EC" w:rsidP="004465EC">
      <w:pPr>
        <w:pStyle w:val="NoSpacing"/>
        <w:ind w:right="-576"/>
        <w:jc w:val="center"/>
        <w:rPr>
          <w:rFonts w:ascii="Georgia" w:hAnsi="Georgia"/>
          <w:b/>
          <w:sz w:val="28"/>
          <w:szCs w:val="28"/>
        </w:rPr>
      </w:pPr>
      <w:r w:rsidRPr="00881FFA">
        <w:rPr>
          <w:rFonts w:ascii="Georgia" w:hAnsi="Georgia"/>
          <w:b/>
          <w:sz w:val="28"/>
          <w:szCs w:val="28"/>
        </w:rPr>
        <w:t>*</w:t>
      </w:r>
      <w:r w:rsidRPr="00881FFA">
        <w:rPr>
          <w:rFonts w:ascii="Georgia" w:hAnsi="Georgia"/>
          <w:b/>
          <w:sz w:val="28"/>
          <w:szCs w:val="28"/>
          <w:u w:val="single"/>
        </w:rPr>
        <w:t>IMPORTANT NOTE FROM STUDENT HEALTH</w:t>
      </w:r>
      <w:r w:rsidRPr="00881FFA">
        <w:rPr>
          <w:rFonts w:ascii="Georgia" w:hAnsi="Georgia"/>
          <w:b/>
          <w:sz w:val="28"/>
          <w:szCs w:val="28"/>
        </w:rPr>
        <w:t>:</w:t>
      </w:r>
    </w:p>
    <w:p w:rsidR="004465EC" w:rsidRDefault="004465EC" w:rsidP="004465EC">
      <w:pPr>
        <w:pStyle w:val="NoSpacing"/>
        <w:numPr>
          <w:ilvl w:val="0"/>
          <w:numId w:val="3"/>
        </w:numPr>
        <w:ind w:right="720"/>
      </w:pPr>
      <w:r w:rsidRPr="00F374D2">
        <w:t>Referrals CANNOT be written for “general” or “ongoing”</w:t>
      </w:r>
      <w:r>
        <w:t xml:space="preserve"> care</w:t>
      </w:r>
      <w:r w:rsidRPr="00F374D2">
        <w:t>; each referral MUST state</w:t>
      </w:r>
      <w:r>
        <w:t xml:space="preserve"> the condition for which the student is</w:t>
      </w:r>
      <w:r w:rsidRPr="00F374D2">
        <w:t xml:space="preserve"> being seen.  </w:t>
      </w:r>
      <w:r>
        <w:t>New referrals are required</w:t>
      </w:r>
      <w:r w:rsidRPr="00F374D2">
        <w:t xml:space="preserve"> if </w:t>
      </w:r>
      <w:r>
        <w:t>the</w:t>
      </w:r>
      <w:r w:rsidRPr="00F374D2">
        <w:t xml:space="preserve"> diagnosis or condition changes.</w:t>
      </w:r>
    </w:p>
    <w:p w:rsidR="004465EC" w:rsidRDefault="004465EC" w:rsidP="004465EC">
      <w:pPr>
        <w:pStyle w:val="NoSpacing"/>
        <w:numPr>
          <w:ilvl w:val="0"/>
          <w:numId w:val="3"/>
        </w:numPr>
        <w:ind w:right="720"/>
      </w:pPr>
      <w:r>
        <w:t xml:space="preserve">For the BEST financial benefits under the insurance plan, students should make an appointment at the Student Health Center </w:t>
      </w:r>
      <w:r w:rsidRPr="00ED3076">
        <w:rPr>
          <w:b/>
        </w:rPr>
        <w:t>BEFORE</w:t>
      </w:r>
      <w:r>
        <w:t xml:space="preserve"> making appointments with outside providers; because of medical liability, our providers may not write a referral for a student who has not been seen at the SHC.</w:t>
      </w:r>
    </w:p>
    <w:p w:rsidR="004465EC" w:rsidRDefault="004465EC" w:rsidP="004465EC">
      <w:pPr>
        <w:pStyle w:val="NoSpacing"/>
        <w:numPr>
          <w:ilvl w:val="0"/>
          <w:numId w:val="3"/>
        </w:numPr>
        <w:ind w:right="720"/>
      </w:pPr>
      <w:r>
        <w:t xml:space="preserve">Students who have graduated are </w:t>
      </w:r>
      <w:r w:rsidRPr="00FC6190">
        <w:rPr>
          <w:b/>
        </w:rPr>
        <w:t>not eligible</w:t>
      </w:r>
      <w:r>
        <w:t xml:space="preserve"> to be seen at the Student Health Center and are exempt from the above terms and conditions.</w:t>
      </w:r>
    </w:p>
    <w:p w:rsidR="004465EC" w:rsidRDefault="004465EC" w:rsidP="004465EC">
      <w:pPr>
        <w:ind w:left="720" w:right="720"/>
      </w:pPr>
      <w:r>
        <w:t>D</w:t>
      </w:r>
      <w:r w:rsidRPr="00F374D2">
        <w:t>ependents</w:t>
      </w:r>
      <w:r>
        <w:t xml:space="preserve"> and Visiting Scholars/Faculty are </w:t>
      </w:r>
      <w:r w:rsidRPr="00FC6190">
        <w:rPr>
          <w:b/>
        </w:rPr>
        <w:t>not eligible</w:t>
      </w:r>
      <w:r>
        <w:t xml:space="preserve"> to be</w:t>
      </w:r>
      <w:r w:rsidRPr="00F374D2">
        <w:t xml:space="preserve"> seen at </w:t>
      </w:r>
      <w:r>
        <w:t xml:space="preserve">the </w:t>
      </w:r>
      <w:r w:rsidRPr="00F374D2">
        <w:t>Student Health</w:t>
      </w:r>
      <w:r>
        <w:t xml:space="preserve"> Center</w:t>
      </w:r>
      <w:r w:rsidRPr="00F374D2">
        <w:t xml:space="preserve"> and are exempt from th</w:t>
      </w:r>
      <w:r>
        <w:t>e above terms and conditions</w:t>
      </w:r>
    </w:p>
    <w:p w:rsidR="009D260C" w:rsidRDefault="004465EC">
      <w:r>
        <w:rPr>
          <w:noProof/>
        </w:rPr>
        <mc:AlternateContent>
          <mc:Choice Requires="wps">
            <w:drawing>
              <wp:anchor distT="0" distB="0" distL="114300" distR="114300" simplePos="0" relativeHeight="251660288" behindDoc="0" locked="0" layoutInCell="1" allowOverlap="1" wp14:anchorId="1CB8A948" wp14:editId="7342DDD5">
                <wp:simplePos x="0" y="0"/>
                <wp:positionH relativeFrom="margin">
                  <wp:posOffset>6324600</wp:posOffset>
                </wp:positionH>
                <wp:positionV relativeFrom="paragraph">
                  <wp:posOffset>236855</wp:posOffset>
                </wp:positionV>
                <wp:extent cx="685800" cy="285750"/>
                <wp:effectExtent l="0" t="0" r="0" b="0"/>
                <wp:wrapNone/>
                <wp:docPr id="2" name="Text Box 2"/>
                <wp:cNvGraphicFramePr/>
                <a:graphic xmlns:a="http://schemas.openxmlformats.org/drawingml/2006/main">
                  <a:graphicData uri="http://schemas.microsoft.com/office/word/2010/wordprocessingShape">
                    <wps:wsp>
                      <wps:cNvSpPr txBox="1"/>
                      <wps:spPr>
                        <a:xfrm>
                          <a:off x="0" y="0"/>
                          <a:ext cx="6858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65EC" w:rsidRPr="00464BEE" w:rsidRDefault="004465EC" w:rsidP="004465EC">
                            <w:pPr>
                              <w:rPr>
                                <w:sz w:val="16"/>
                                <w:szCs w:val="16"/>
                              </w:rPr>
                            </w:pPr>
                            <w:r>
                              <w:rPr>
                                <w:sz w:val="16"/>
                                <w:szCs w:val="16"/>
                              </w:rPr>
                              <w:t>EFF 8/1/18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B8A948" id="_x0000_t202" coordsize="21600,21600" o:spt="202" path="m,l,21600r21600,l21600,xe">
                <v:stroke joinstyle="miter"/>
                <v:path gradientshapeok="t" o:connecttype="rect"/>
              </v:shapetype>
              <v:shape id="Text Box 2" o:spid="_x0000_s1026" type="#_x0000_t202" style="position:absolute;margin-left:498pt;margin-top:18.65pt;width:54pt;height:2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" filled="f" stroked="f" strokeweight=".5pt">
                <v:textbox>
                  <w:txbxContent>
                    <w:p w:rsidR="004465EC" w:rsidRPr="00464BEE" w:rsidRDefault="004465EC" w:rsidP="004465EC">
                      <w:pPr>
                        <w:rPr>
                          <w:sz w:val="16"/>
                          <w:szCs w:val="16"/>
                        </w:rPr>
                      </w:pPr>
                      <w:bookmarkStart w:id="1" w:name="_GoBack"/>
                      <w:r>
                        <w:rPr>
                          <w:sz w:val="16"/>
                          <w:szCs w:val="16"/>
                        </w:rPr>
                        <w:t>EFF 8/1/18</w:t>
                      </w:r>
                      <w:bookmarkEnd w:id="1"/>
                    </w:p>
                  </w:txbxContent>
                </v:textbox>
                <w10:wrap anchorx="margin"/>
              </v:shape>
            </w:pict>
          </mc:Fallback>
        </mc:AlternateContent>
      </w:r>
    </w:p>
    <w:sectPr w:rsidR="009D260C" w:rsidSect="001B1146">
      <w:pgSz w:w="12240" w:h="15840"/>
      <w:pgMar w:top="720" w:right="720" w:bottom="720" w:left="720" w:header="720" w:footer="720" w:gutter="0"/>
      <w:pgBorders w:offsetFrom="page">
        <w:top w:val="basicWideInline" w:sz="6" w:space="24" w:color="ED7D31" w:themeColor="accent2"/>
        <w:left w:val="basicWideInline" w:sz="6" w:space="24" w:color="ED7D31" w:themeColor="accent2"/>
        <w:bottom w:val="basicWideInline" w:sz="6" w:space="24" w:color="ED7D31" w:themeColor="accent2"/>
        <w:right w:val="basicWideInline" w:sz="6" w:space="24" w:color="ED7D31" w:themeColor="accen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260D5"/>
    <w:multiLevelType w:val="hybridMultilevel"/>
    <w:tmpl w:val="E162220E"/>
    <w:lvl w:ilvl="0" w:tplc="5B76590C">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2FC3797E"/>
    <w:multiLevelType w:val="hybridMultilevel"/>
    <w:tmpl w:val="ADA07C12"/>
    <w:lvl w:ilvl="0" w:tplc="5B76590C">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61496B7D"/>
    <w:multiLevelType w:val="hybridMultilevel"/>
    <w:tmpl w:val="AEAC6F50"/>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3" w15:restartNumberingAfterBreak="0">
    <w:nsid w:val="698E3641"/>
    <w:multiLevelType w:val="hybridMultilevel"/>
    <w:tmpl w:val="515E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5EC"/>
    <w:rsid w:val="004465EC"/>
    <w:rsid w:val="00564B3D"/>
    <w:rsid w:val="009D2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3433BD-88B3-49DD-AEF6-0A0646C0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5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65EC"/>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4465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Chidester, Yolanda</dc:creator>
  <cp:keywords/>
  <dc:description/>
  <cp:lastModifiedBy>Chidester, Yolanda</cp:lastModifiedBy>
  <cp:revision>2</cp:revision>
  <dcterms:created xsi:type="dcterms:W3CDTF">2018-07-11T14:52:00Z</dcterms:created>
  <dcterms:modified xsi:type="dcterms:W3CDTF">2018-08-17T19:53:00Z</dcterms:modified>
</cp:coreProperties>
</file>